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krper"/>
        <w:jc w:val="both"/>
        <w:rPr/>
      </w:pPr>
      <w:r>
        <w:rPr/>
        <w:drawing>
          <wp:anchor behindDoc="0" distT="0" distB="0" distL="0" distR="0" simplePos="0" locked="0" layoutInCell="0" allowOverlap="1" relativeHeight="2">
            <wp:simplePos x="0" y="0"/>
            <wp:positionH relativeFrom="column">
              <wp:posOffset>3285490</wp:posOffset>
            </wp:positionH>
            <wp:positionV relativeFrom="paragraph">
              <wp:posOffset>-360680</wp:posOffset>
            </wp:positionV>
            <wp:extent cx="3080385" cy="630555"/>
            <wp:effectExtent l="0" t="0" r="0" b="0"/>
            <wp:wrapSquare wrapText="largest"/>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2"/>
                    <a:stretch>
                      <a:fillRect/>
                    </a:stretch>
                  </pic:blipFill>
                  <pic:spPr bwMode="auto">
                    <a:xfrm>
                      <a:off x="0" y="0"/>
                      <a:ext cx="3080385" cy="630555"/>
                    </a:xfrm>
                    <a:prstGeom prst="rect">
                      <a:avLst/>
                    </a:prstGeom>
                  </pic:spPr>
                </pic:pic>
              </a:graphicData>
            </a:graphic>
          </wp:anchor>
        </w:drawing>
      </w:r>
    </w:p>
    <w:p>
      <w:pPr>
        <w:pStyle w:val="Textkrper"/>
        <w:jc w:val="both"/>
        <w:rPr/>
      </w:pPr>
      <w:r>
        <w:rPr/>
      </w:r>
    </w:p>
    <w:p>
      <w:pPr>
        <w:pStyle w:val="Textkrper"/>
        <w:jc w:val="both"/>
        <w:rPr/>
      </w:pPr>
      <w:r>
        <w:rPr/>
        <w:t>Pressemitteilung</w:t>
      </w:r>
    </w:p>
    <w:p>
      <w:pPr>
        <w:pStyle w:val="Textkrper"/>
        <w:jc w:val="both"/>
        <w:rPr>
          <w:b/>
          <w:b/>
          <w:bCs/>
        </w:rPr>
      </w:pPr>
      <w:r>
        <w:rPr>
          <w:b/>
          <w:bCs/>
        </w:rPr>
        <w:t>„</w:t>
      </w:r>
      <w:r>
        <w:rPr>
          <w:b/>
          <w:bCs/>
        </w:rPr>
        <w:t>Als wären kinderreiche Familien unsichtbar“: Eine 8-köpfige Familie muss genauso mit 87 Euro auskommen wie eine 5-köpfige Familie</w:t>
      </w:r>
    </w:p>
    <w:p>
      <w:pPr>
        <w:pStyle w:val="Textkrper"/>
        <w:jc w:val="both"/>
        <w:rPr>
          <w:b/>
          <w:b/>
          <w:bCs/>
        </w:rPr>
      </w:pPr>
      <w:r>
        <w:rPr>
          <w:b/>
          <w:bCs/>
        </w:rPr>
      </w:r>
    </w:p>
    <w:p>
      <w:pPr>
        <w:pStyle w:val="Textkrper"/>
        <w:jc w:val="both"/>
        <w:rPr>
          <w:i/>
          <w:i/>
          <w:iCs/>
        </w:rPr>
      </w:pPr>
      <w:r>
        <w:rPr>
          <w:i/>
          <w:iCs/>
        </w:rPr>
        <w:t xml:space="preserve">Mönchengladbach, </w:t>
      </w:r>
      <w:r>
        <w:rPr>
          <w:i/>
          <w:iCs/>
        </w:rPr>
        <w:t>20</w:t>
      </w:r>
      <w:r>
        <w:rPr>
          <w:i/>
          <w:iCs/>
        </w:rPr>
        <w:t xml:space="preserve">.03.2023. Die Kindergelderhöhung im Rahmen des Inflationsausgleichgesetzes (IAG) trägt nicht zur finanziellen Entlastung in großen Familien bei. Noch immer erfahren vierte und weitere Kinder keine inflationsangepasste Unterstützung. </w:t>
      </w:r>
    </w:p>
    <w:p>
      <w:pPr>
        <w:pStyle w:val="Textkrper"/>
        <w:jc w:val="both"/>
        <w:rPr/>
      </w:pPr>
      <w:r>
        <w:rPr/>
        <w:t>Viele Familien ächzen gegenwärtig besonders unter den enormen Lebensmittelpreisen. Für Familien mit mehreren Kindern ist die Lage deshalb sehr angespannt. „A</w:t>
      </w:r>
      <w:r>
        <w:rPr>
          <w:color w:val="000000"/>
        </w:rPr>
        <w:t xml:space="preserve">ls wären kinderreiche Familien unsichtbar“, zeigt sich die Vorsitzende Dr. Elisabeth Müller enttäuscht vom IAG. Der Verband fordert eine inflationsbedingte Anpassung und Nachbesserung des Kindergeldes pro Kind um 35 Euro und schlägt die Beibehaltung der gestaffelten Sätze vor dem IAG für dritte und weitere Kinder vor.  </w:t>
      </w:r>
    </w:p>
    <w:p>
      <w:pPr>
        <w:pStyle w:val="Textkrper"/>
        <w:jc w:val="both"/>
        <w:rPr/>
      </w:pPr>
      <w:r>
        <w:rPr>
          <w:color w:val="000000"/>
        </w:rPr>
        <w:t xml:space="preserve">Die Grundnahrungsmittel machen einen großen Teil des monatlichen Budgets aus. „Als Mutter von mehreren Kindern und Verbandschefin bin ich mir sehr bewusst darüber, wie angespannt die finanzielle Lage gegenwärtig ist, insbesondere wenn es um die Grundnahrungsmittel geht“, so Müller. Noch vor 12 Monaten hätte man für einen typischen Einkauf von Milch, Brot und Eiern nur 5-10 Euro ausgegeben, aber heute kosten diese Produkte alleine schon 15-20 Euro. Wenn man bedenkt, dass man als Familie in der Woche mehrere solcher Einkäufe tätigen muss, kann das schnell zu einer immensen finanziellen Belastung werden, wie </w:t>
      </w:r>
      <w:r>
        <w:rPr>
          <w:color w:val="000000"/>
        </w:rPr>
        <w:t>die</w:t>
      </w:r>
      <w:r>
        <w:rPr>
          <w:color w:val="000000"/>
        </w:rPr>
        <w:t xml:space="preserve"> Zahlen zeigen (siehe Tabelle).</w:t>
      </w:r>
    </w:p>
    <w:p>
      <w:pPr>
        <w:pStyle w:val="Textkrper"/>
        <w:jc w:val="both"/>
        <w:rPr>
          <w:color w:val="000000"/>
        </w:rPr>
      </w:pPr>
      <w:r>
        <w:rPr>
          <w:color w:val="000000"/>
        </w:rPr>
        <w:t xml:space="preserve">Je mehr Kinder im Haushalt leben, desto mehr schmilzt die Wirkung des Kindergeldes ab, denn  sowohl für eine 8-köpfige Familie als auch eine 5-köpfige Familie stehen nach der Erhöhung des Kindergeldes mit dem IAG lediglich 87 Euro monatlich mehr zur Verfügung. Dabei brauchen gerade kinderreiche Haushalte besondere Unterstützung, müssen aber, wie das Beispiel verdeutlicht, mit demselben Betrag auskommen, wie kleinere Familien. So liegt die Unterstützungswirkung des inflationsangepassten Kindergeldes mit 5 Kindern bei 7,48%. Allein die Inflationsrate lag im Februar 2023 bei 8,7%. Einmal einkaufen und dann ist das „Unterstützungsgeld“ von 87 Euro sofort aufgeschmolzen – und davon sind noch keine Öl- und Gaskosten, Lehr- und Lernmittel, Vereins- oder Musikschulmitgliedschaften bezahlt. </w:t>
      </w:r>
    </w:p>
    <w:p>
      <w:pPr>
        <w:pStyle w:val="Textkrper"/>
        <w:jc w:val="both"/>
        <w:rPr>
          <w:color w:val="000000"/>
        </w:rPr>
      </w:pPr>
      <w:r>
        <w:rPr>
          <w:color w:val="000000"/>
        </w:rPr>
        <w:t xml:space="preserve">Laut Abfrage unter Mitgliedsfamilien des Verbandes kostet der Wocheneinkauf in kinderreichen Familien durchschnittlich 100-150 Euro mehr. Generell ist der Warenkorb bei kinderreichen Familien wesentlich voller. Dementsprechend ist davon auszugehen, dass die Inflation die kinderreichen Familien wesentlich stärker trifft. „Leider wird der Warenkorb und damit die tatsächliche Inflationsrate kinderreicher Familien statistisch nicht erfasst, sodass auch hier dringend Nachholbedarf besteht“, wünscht sich Müller. </w:t>
      </w:r>
    </w:p>
    <w:p>
      <w:pPr>
        <w:pStyle w:val="Textkrper"/>
        <w:jc w:val="both"/>
        <w:rPr/>
      </w:pPr>
      <w:r>
        <w:rPr/>
        <w:t>Für den Verband ist es daher unerlässlich, dass die Regierung zeitnah Maßnahmen ergreift, um Familien mit mehreren Kindern jetzt zu unterstützen und die finanzielle Belastung zu verringern. „Ein- und Zwei-Kind-Familien profitieren um die Hälfte mehr von der Inflationsanpassung als Familien mit drei oder mehr Kindern“, so Müller. „Die kinderreichen Familien, die einen so wichtigen generativen Beitrag für unsere Gesellschaft leisten, werden in diesen herausfordernden Zeiten schlichtweg übersehen. Diese Familien spüren, dass ihr Familienmodell vergessen wird. Mehrkindfamilien werden so immer mehr ins Abseits gestellt.“</w:t>
      </w:r>
    </w:p>
    <w:p>
      <w:pPr>
        <w:pStyle w:val="Textkrper"/>
        <w:jc w:val="both"/>
        <w:rPr/>
      </w:pPr>
      <w:r>
        <w:rPr/>
      </w:r>
    </w:p>
    <w:p>
      <w:pPr>
        <w:pStyle w:val="Normal"/>
        <w:jc w:val="both"/>
        <w:rPr/>
      </w:pPr>
      <w:r>
        <w:rPr/>
      </w:r>
    </w:p>
    <w:p>
      <w:pPr>
        <w:pStyle w:val="Normal"/>
        <w:jc w:val="both"/>
        <w:rPr/>
      </w:pPr>
      <w:r>
        <w:rPr/>
      </w:r>
    </w:p>
    <w:tbl>
      <w:tblPr>
        <w:tblW w:w="9128" w:type="dxa"/>
        <w:jc w:val="left"/>
        <w:tblInd w:w="-65" w:type="dxa"/>
        <w:tblLayout w:type="fixed"/>
        <w:tblCellMar>
          <w:top w:w="55" w:type="dxa"/>
          <w:left w:w="55" w:type="dxa"/>
          <w:bottom w:w="55" w:type="dxa"/>
          <w:right w:w="55" w:type="dxa"/>
        </w:tblCellMar>
      </w:tblPr>
      <w:tblGrid>
        <w:gridCol w:w="1356"/>
        <w:gridCol w:w="2046"/>
        <w:gridCol w:w="2208"/>
        <w:gridCol w:w="1759"/>
        <w:gridCol w:w="1759"/>
      </w:tblGrid>
      <w:tr>
        <w:trPr/>
        <w:tc>
          <w:tcPr>
            <w:tcW w:w="1356" w:type="dxa"/>
            <w:tcBorders>
              <w:top w:val="single" w:sz="4" w:space="0" w:color="000000"/>
              <w:left w:val="single" w:sz="4" w:space="0" w:color="000000"/>
              <w:bottom w:val="single" w:sz="4" w:space="0" w:color="000000"/>
            </w:tcBorders>
          </w:tcPr>
          <w:p>
            <w:pPr>
              <w:pStyle w:val="Tabelleninhalt"/>
              <w:widowControl w:val="false"/>
              <w:jc w:val="both"/>
              <w:rPr/>
            </w:pPr>
            <w:r>
              <w:rPr/>
              <w:t>Familie mit</w:t>
            </w:r>
          </w:p>
        </w:tc>
        <w:tc>
          <w:tcPr>
            <w:tcW w:w="2046" w:type="dxa"/>
            <w:tcBorders>
              <w:top w:val="single" w:sz="4" w:space="0" w:color="000000"/>
              <w:left w:val="single" w:sz="4" w:space="0" w:color="000000"/>
              <w:bottom w:val="single" w:sz="4" w:space="0" w:color="000000"/>
            </w:tcBorders>
          </w:tcPr>
          <w:p>
            <w:pPr>
              <w:pStyle w:val="Tabelleninhalt"/>
              <w:widowControl w:val="false"/>
              <w:jc w:val="both"/>
              <w:rPr/>
            </w:pPr>
            <w:r>
              <w:rPr/>
              <w:t>Kindergeld 2022, vor dem Inflationsausgleichgesetz (IAG)</w:t>
            </w:r>
          </w:p>
        </w:tc>
        <w:tc>
          <w:tcPr>
            <w:tcW w:w="2208" w:type="dxa"/>
            <w:tcBorders>
              <w:top w:val="single" w:sz="4" w:space="0" w:color="000000"/>
              <w:left w:val="single" w:sz="4" w:space="0" w:color="000000"/>
              <w:bottom w:val="single" w:sz="4" w:space="0" w:color="000000"/>
            </w:tcBorders>
          </w:tcPr>
          <w:p>
            <w:pPr>
              <w:pStyle w:val="Tabelleninhalt"/>
              <w:widowControl w:val="false"/>
              <w:jc w:val="both"/>
              <w:rPr/>
            </w:pPr>
            <w:r>
              <w:rPr/>
              <w:t>Kindergeld 2023, nach dem IAG</w:t>
            </w:r>
          </w:p>
        </w:tc>
        <w:tc>
          <w:tcPr>
            <w:tcW w:w="1759" w:type="dxa"/>
            <w:tcBorders>
              <w:top w:val="single" w:sz="4" w:space="0" w:color="000000"/>
              <w:left w:val="single" w:sz="4" w:space="0" w:color="000000"/>
              <w:bottom w:val="single" w:sz="4" w:space="0" w:color="000000"/>
            </w:tcBorders>
          </w:tcPr>
          <w:p>
            <w:pPr>
              <w:pStyle w:val="Tabelleninhalt"/>
              <w:widowControl w:val="false"/>
              <w:jc w:val="both"/>
              <w:rPr/>
            </w:pPr>
            <w:r>
              <w:rPr/>
              <w:t xml:space="preserve">Erhöhung in € </w:t>
            </w:r>
            <w:r>
              <w:rPr/>
              <w:t>je weitere</w:t>
            </w:r>
            <w:r>
              <w:rPr/>
              <w:t>s</w:t>
            </w:r>
            <w:r>
              <w:rPr/>
              <w:t xml:space="preserve"> Kind</w:t>
            </w:r>
          </w:p>
        </w:tc>
        <w:tc>
          <w:tcPr>
            <w:tcW w:w="1759" w:type="dxa"/>
            <w:tcBorders>
              <w:top w:val="single" w:sz="4" w:space="0" w:color="000000"/>
              <w:left w:val="single" w:sz="4" w:space="0" w:color="000000"/>
              <w:bottom w:val="single" w:sz="4" w:space="0" w:color="000000"/>
              <w:right w:val="single" w:sz="4" w:space="0" w:color="000000"/>
            </w:tcBorders>
          </w:tcPr>
          <w:p>
            <w:pPr>
              <w:pStyle w:val="Tabelleninhalt"/>
              <w:widowControl w:val="false"/>
              <w:jc w:val="both"/>
              <w:rPr/>
            </w:pPr>
            <w:r>
              <w:rPr/>
              <w:t>Erhöhung in % (abhängig der Kinderzahl)</w:t>
            </w:r>
          </w:p>
        </w:tc>
      </w:tr>
      <w:tr>
        <w:trPr/>
        <w:tc>
          <w:tcPr>
            <w:tcW w:w="1356" w:type="dxa"/>
            <w:tcBorders>
              <w:left w:val="single" w:sz="4" w:space="0" w:color="000000"/>
              <w:bottom w:val="single" w:sz="4" w:space="0" w:color="000000"/>
            </w:tcBorders>
          </w:tcPr>
          <w:p>
            <w:pPr>
              <w:pStyle w:val="Tabelleninhalt"/>
              <w:widowControl w:val="false"/>
              <w:jc w:val="both"/>
              <w:rPr/>
            </w:pPr>
            <w:r>
              <w:rPr/>
              <w:t>1 Kind</w:t>
            </w:r>
          </w:p>
        </w:tc>
        <w:tc>
          <w:tcPr>
            <w:tcW w:w="2046" w:type="dxa"/>
            <w:tcBorders>
              <w:left w:val="single" w:sz="4" w:space="0" w:color="000000"/>
              <w:bottom w:val="single" w:sz="4" w:space="0" w:color="000000"/>
            </w:tcBorders>
          </w:tcPr>
          <w:p>
            <w:pPr>
              <w:pStyle w:val="Tabelleninhalt"/>
              <w:widowControl w:val="false"/>
              <w:jc w:val="both"/>
              <w:rPr/>
            </w:pPr>
            <w:r>
              <w:rPr/>
              <w:t>219 €</w:t>
            </w:r>
          </w:p>
        </w:tc>
        <w:tc>
          <w:tcPr>
            <w:tcW w:w="2208" w:type="dxa"/>
            <w:tcBorders>
              <w:left w:val="single" w:sz="4" w:space="0" w:color="000000"/>
              <w:bottom w:val="single" w:sz="4" w:space="0" w:color="000000"/>
            </w:tcBorders>
          </w:tcPr>
          <w:p>
            <w:pPr>
              <w:pStyle w:val="Tabelleninhalt"/>
              <w:widowControl w:val="false"/>
              <w:jc w:val="both"/>
              <w:rPr/>
            </w:pPr>
            <w:r>
              <w:rPr/>
              <w:t>250 €</w:t>
            </w:r>
          </w:p>
        </w:tc>
        <w:tc>
          <w:tcPr>
            <w:tcW w:w="1759" w:type="dxa"/>
            <w:tcBorders>
              <w:left w:val="single" w:sz="4" w:space="0" w:color="000000"/>
              <w:bottom w:val="single" w:sz="4" w:space="0" w:color="000000"/>
            </w:tcBorders>
          </w:tcPr>
          <w:p>
            <w:pPr>
              <w:pStyle w:val="Tabelleninhalt"/>
              <w:widowControl w:val="false"/>
              <w:jc w:val="both"/>
              <w:rPr/>
            </w:pPr>
            <w:r>
              <w:rPr/>
              <w:t>+ 31</w:t>
            </w:r>
          </w:p>
        </w:tc>
        <w:tc>
          <w:tcPr>
            <w:tcW w:w="1759" w:type="dxa"/>
            <w:tcBorders>
              <w:left w:val="single" w:sz="4" w:space="0" w:color="000000"/>
              <w:bottom w:val="single" w:sz="4" w:space="0" w:color="000000"/>
              <w:right w:val="single" w:sz="4" w:space="0" w:color="000000"/>
            </w:tcBorders>
          </w:tcPr>
          <w:p>
            <w:pPr>
              <w:pStyle w:val="Tabelleninhalt"/>
              <w:widowControl w:val="false"/>
              <w:jc w:val="both"/>
              <w:rPr/>
            </w:pPr>
            <w:r>
              <w:rPr/>
              <w:t>14,15</w:t>
            </w:r>
          </w:p>
        </w:tc>
      </w:tr>
      <w:tr>
        <w:trPr/>
        <w:tc>
          <w:tcPr>
            <w:tcW w:w="1356" w:type="dxa"/>
            <w:tcBorders>
              <w:left w:val="single" w:sz="4" w:space="0" w:color="000000"/>
              <w:bottom w:val="single" w:sz="4" w:space="0" w:color="000000"/>
            </w:tcBorders>
          </w:tcPr>
          <w:p>
            <w:pPr>
              <w:pStyle w:val="Tabelleninhalt"/>
              <w:widowControl w:val="false"/>
              <w:jc w:val="both"/>
              <w:rPr/>
            </w:pPr>
            <w:r>
              <w:rPr/>
              <w:t>2 Kinder</w:t>
            </w:r>
          </w:p>
        </w:tc>
        <w:tc>
          <w:tcPr>
            <w:tcW w:w="2046" w:type="dxa"/>
            <w:tcBorders>
              <w:left w:val="single" w:sz="4" w:space="0" w:color="000000"/>
              <w:bottom w:val="single" w:sz="4" w:space="0" w:color="000000"/>
            </w:tcBorders>
          </w:tcPr>
          <w:p>
            <w:pPr>
              <w:pStyle w:val="Tabelleninhalt"/>
              <w:widowControl w:val="false"/>
              <w:jc w:val="both"/>
              <w:rPr/>
            </w:pPr>
            <w:r>
              <w:rPr/>
              <w:t>438 €</w:t>
            </w:r>
          </w:p>
        </w:tc>
        <w:tc>
          <w:tcPr>
            <w:tcW w:w="2208" w:type="dxa"/>
            <w:tcBorders>
              <w:left w:val="single" w:sz="4" w:space="0" w:color="000000"/>
              <w:bottom w:val="single" w:sz="4" w:space="0" w:color="000000"/>
            </w:tcBorders>
          </w:tcPr>
          <w:p>
            <w:pPr>
              <w:pStyle w:val="Tabelleninhalt"/>
              <w:widowControl w:val="false"/>
              <w:jc w:val="both"/>
              <w:rPr/>
            </w:pPr>
            <w:r>
              <w:rPr/>
              <w:t>500 €</w:t>
            </w:r>
          </w:p>
        </w:tc>
        <w:tc>
          <w:tcPr>
            <w:tcW w:w="1759" w:type="dxa"/>
            <w:tcBorders>
              <w:left w:val="single" w:sz="4" w:space="0" w:color="000000"/>
              <w:bottom w:val="single" w:sz="4" w:space="0" w:color="000000"/>
            </w:tcBorders>
          </w:tcPr>
          <w:p>
            <w:pPr>
              <w:pStyle w:val="Tabelleninhalt"/>
              <w:widowControl w:val="false"/>
              <w:jc w:val="both"/>
              <w:rPr/>
            </w:pPr>
            <w:r>
              <w:rPr/>
              <w:t>+ 62</w:t>
            </w:r>
          </w:p>
        </w:tc>
        <w:tc>
          <w:tcPr>
            <w:tcW w:w="1759" w:type="dxa"/>
            <w:tcBorders>
              <w:left w:val="single" w:sz="4" w:space="0" w:color="000000"/>
              <w:bottom w:val="single" w:sz="4" w:space="0" w:color="000000"/>
              <w:right w:val="single" w:sz="4" w:space="0" w:color="000000"/>
            </w:tcBorders>
          </w:tcPr>
          <w:p>
            <w:pPr>
              <w:pStyle w:val="Tabelleninhalt"/>
              <w:widowControl w:val="false"/>
              <w:jc w:val="both"/>
              <w:rPr/>
            </w:pPr>
            <w:r>
              <w:rPr/>
              <w:t>14,15</w:t>
            </w:r>
          </w:p>
        </w:tc>
      </w:tr>
      <w:tr>
        <w:trPr/>
        <w:tc>
          <w:tcPr>
            <w:tcW w:w="1356" w:type="dxa"/>
            <w:tcBorders>
              <w:left w:val="single" w:sz="4" w:space="0" w:color="000000"/>
              <w:bottom w:val="single" w:sz="4" w:space="0" w:color="000000"/>
            </w:tcBorders>
          </w:tcPr>
          <w:p>
            <w:pPr>
              <w:pStyle w:val="Tabelleninhalt"/>
              <w:widowControl w:val="false"/>
              <w:jc w:val="both"/>
              <w:rPr/>
            </w:pPr>
            <w:r>
              <w:rPr/>
              <w:t>3 Kinder</w:t>
            </w:r>
          </w:p>
        </w:tc>
        <w:tc>
          <w:tcPr>
            <w:tcW w:w="2046" w:type="dxa"/>
            <w:tcBorders>
              <w:left w:val="single" w:sz="4" w:space="0" w:color="000000"/>
              <w:bottom w:val="single" w:sz="4" w:space="0" w:color="000000"/>
            </w:tcBorders>
          </w:tcPr>
          <w:p>
            <w:pPr>
              <w:pStyle w:val="Tabelleninhalt"/>
              <w:widowControl w:val="false"/>
              <w:jc w:val="both"/>
              <w:rPr/>
            </w:pPr>
            <w:r>
              <w:rPr/>
              <w:t>663 €</w:t>
            </w:r>
          </w:p>
        </w:tc>
        <w:tc>
          <w:tcPr>
            <w:tcW w:w="2208" w:type="dxa"/>
            <w:tcBorders>
              <w:left w:val="single" w:sz="4" w:space="0" w:color="000000"/>
              <w:bottom w:val="single" w:sz="4" w:space="0" w:color="000000"/>
            </w:tcBorders>
          </w:tcPr>
          <w:p>
            <w:pPr>
              <w:pStyle w:val="Tabelleninhalt"/>
              <w:widowControl w:val="false"/>
              <w:jc w:val="both"/>
              <w:rPr/>
            </w:pPr>
            <w:r>
              <w:rPr/>
              <w:t>750 €</w:t>
            </w:r>
          </w:p>
        </w:tc>
        <w:tc>
          <w:tcPr>
            <w:tcW w:w="1759" w:type="dxa"/>
            <w:tcBorders>
              <w:left w:val="single" w:sz="4" w:space="0" w:color="000000"/>
              <w:bottom w:val="single" w:sz="4" w:space="0" w:color="000000"/>
            </w:tcBorders>
          </w:tcPr>
          <w:p>
            <w:pPr>
              <w:pStyle w:val="Tabelleninhalt"/>
              <w:widowControl w:val="false"/>
              <w:jc w:val="both"/>
              <w:rPr/>
            </w:pPr>
            <w:r>
              <w:rPr/>
              <w:t>+ 87</w:t>
            </w:r>
          </w:p>
        </w:tc>
        <w:tc>
          <w:tcPr>
            <w:tcW w:w="1759" w:type="dxa"/>
            <w:tcBorders>
              <w:left w:val="single" w:sz="4" w:space="0" w:color="000000"/>
              <w:bottom w:val="single" w:sz="4" w:space="0" w:color="000000"/>
              <w:right w:val="single" w:sz="4" w:space="0" w:color="000000"/>
            </w:tcBorders>
          </w:tcPr>
          <w:p>
            <w:pPr>
              <w:pStyle w:val="Tabelleninhalt"/>
              <w:widowControl w:val="false"/>
              <w:jc w:val="both"/>
              <w:rPr/>
            </w:pPr>
            <w:r>
              <w:rPr/>
              <w:t>13,12</w:t>
            </w:r>
          </w:p>
        </w:tc>
      </w:tr>
      <w:tr>
        <w:trPr/>
        <w:tc>
          <w:tcPr>
            <w:tcW w:w="1356" w:type="dxa"/>
            <w:tcBorders>
              <w:left w:val="single" w:sz="4" w:space="0" w:color="000000"/>
              <w:bottom w:val="single" w:sz="4" w:space="0" w:color="000000"/>
            </w:tcBorders>
          </w:tcPr>
          <w:p>
            <w:pPr>
              <w:pStyle w:val="Tabelleninhalt"/>
              <w:widowControl w:val="false"/>
              <w:jc w:val="both"/>
              <w:rPr/>
            </w:pPr>
            <w:r>
              <w:rPr/>
              <w:t>4 Kinder</w:t>
            </w:r>
          </w:p>
        </w:tc>
        <w:tc>
          <w:tcPr>
            <w:tcW w:w="2046" w:type="dxa"/>
            <w:tcBorders>
              <w:left w:val="single" w:sz="4" w:space="0" w:color="000000"/>
              <w:bottom w:val="single" w:sz="4" w:space="0" w:color="000000"/>
            </w:tcBorders>
          </w:tcPr>
          <w:p>
            <w:pPr>
              <w:pStyle w:val="Tabelleninhalt"/>
              <w:widowControl w:val="false"/>
              <w:jc w:val="both"/>
              <w:rPr/>
            </w:pPr>
            <w:r>
              <w:rPr/>
              <w:t>913 €</w:t>
            </w:r>
          </w:p>
        </w:tc>
        <w:tc>
          <w:tcPr>
            <w:tcW w:w="2208" w:type="dxa"/>
            <w:tcBorders>
              <w:left w:val="single" w:sz="4" w:space="0" w:color="000000"/>
              <w:bottom w:val="single" w:sz="4" w:space="0" w:color="000000"/>
            </w:tcBorders>
          </w:tcPr>
          <w:p>
            <w:pPr>
              <w:pStyle w:val="Tabelleninhalt"/>
              <w:widowControl w:val="false"/>
              <w:jc w:val="both"/>
              <w:rPr/>
            </w:pPr>
            <w:r>
              <w:rPr/>
              <w:t>1000 €</w:t>
            </w:r>
          </w:p>
        </w:tc>
        <w:tc>
          <w:tcPr>
            <w:tcW w:w="1759" w:type="dxa"/>
            <w:tcBorders>
              <w:left w:val="single" w:sz="4" w:space="0" w:color="000000"/>
              <w:bottom w:val="single" w:sz="4" w:space="0" w:color="000000"/>
            </w:tcBorders>
          </w:tcPr>
          <w:p>
            <w:pPr>
              <w:pStyle w:val="Tabelleninhalt"/>
              <w:widowControl w:val="false"/>
              <w:jc w:val="both"/>
              <w:rPr>
                <w:b/>
                <w:b/>
                <w:bCs/>
                <w:color w:val="C9211E"/>
              </w:rPr>
            </w:pPr>
            <w:r>
              <w:rPr>
                <w:b/>
                <w:bCs/>
                <w:color w:val="C9211E"/>
              </w:rPr>
              <w:t>+ 0</w:t>
            </w:r>
          </w:p>
        </w:tc>
        <w:tc>
          <w:tcPr>
            <w:tcW w:w="1759" w:type="dxa"/>
            <w:tcBorders>
              <w:left w:val="single" w:sz="4" w:space="0" w:color="000000"/>
              <w:bottom w:val="single" w:sz="4" w:space="0" w:color="000000"/>
              <w:right w:val="single" w:sz="4" w:space="0" w:color="000000"/>
            </w:tcBorders>
          </w:tcPr>
          <w:p>
            <w:pPr>
              <w:pStyle w:val="Tabelleninhalt"/>
              <w:widowControl w:val="false"/>
              <w:jc w:val="both"/>
              <w:rPr/>
            </w:pPr>
            <w:r>
              <w:rPr/>
              <w:t>9,53</w:t>
            </w:r>
          </w:p>
        </w:tc>
      </w:tr>
      <w:tr>
        <w:trPr/>
        <w:tc>
          <w:tcPr>
            <w:tcW w:w="1356" w:type="dxa"/>
            <w:tcBorders>
              <w:left w:val="single" w:sz="4" w:space="0" w:color="000000"/>
              <w:bottom w:val="single" w:sz="4" w:space="0" w:color="000000"/>
            </w:tcBorders>
          </w:tcPr>
          <w:p>
            <w:pPr>
              <w:pStyle w:val="Tabelleninhalt"/>
              <w:widowControl w:val="false"/>
              <w:jc w:val="both"/>
              <w:rPr/>
            </w:pPr>
            <w:r>
              <w:rPr/>
              <w:t>5 Kinder</w:t>
            </w:r>
          </w:p>
        </w:tc>
        <w:tc>
          <w:tcPr>
            <w:tcW w:w="2046" w:type="dxa"/>
            <w:tcBorders>
              <w:left w:val="single" w:sz="4" w:space="0" w:color="000000"/>
              <w:bottom w:val="single" w:sz="4" w:space="0" w:color="000000"/>
            </w:tcBorders>
          </w:tcPr>
          <w:p>
            <w:pPr>
              <w:pStyle w:val="Tabelleninhalt"/>
              <w:widowControl w:val="false"/>
              <w:jc w:val="both"/>
              <w:rPr/>
            </w:pPr>
            <w:r>
              <w:rPr/>
              <w:t>1163 €</w:t>
            </w:r>
          </w:p>
        </w:tc>
        <w:tc>
          <w:tcPr>
            <w:tcW w:w="2208" w:type="dxa"/>
            <w:tcBorders>
              <w:left w:val="single" w:sz="4" w:space="0" w:color="000000"/>
              <w:bottom w:val="single" w:sz="4" w:space="0" w:color="000000"/>
            </w:tcBorders>
          </w:tcPr>
          <w:p>
            <w:pPr>
              <w:pStyle w:val="Tabelleninhalt"/>
              <w:widowControl w:val="false"/>
              <w:jc w:val="both"/>
              <w:rPr/>
            </w:pPr>
            <w:r>
              <w:rPr/>
              <w:t>1250 €</w:t>
            </w:r>
          </w:p>
        </w:tc>
        <w:tc>
          <w:tcPr>
            <w:tcW w:w="1759" w:type="dxa"/>
            <w:tcBorders>
              <w:left w:val="single" w:sz="4" w:space="0" w:color="000000"/>
              <w:bottom w:val="single" w:sz="4" w:space="0" w:color="000000"/>
            </w:tcBorders>
          </w:tcPr>
          <w:p>
            <w:pPr>
              <w:pStyle w:val="Tabelleninhalt"/>
              <w:widowControl w:val="false"/>
              <w:jc w:val="both"/>
              <w:rPr>
                <w:b/>
                <w:b/>
                <w:bCs/>
                <w:color w:val="C9211E"/>
              </w:rPr>
            </w:pPr>
            <w:r>
              <w:rPr>
                <w:b/>
                <w:bCs/>
                <w:color w:val="C9211E"/>
              </w:rPr>
              <w:t>+ 0</w:t>
            </w:r>
          </w:p>
        </w:tc>
        <w:tc>
          <w:tcPr>
            <w:tcW w:w="1759" w:type="dxa"/>
            <w:tcBorders>
              <w:left w:val="single" w:sz="4" w:space="0" w:color="000000"/>
              <w:bottom w:val="single" w:sz="4" w:space="0" w:color="000000"/>
              <w:right w:val="single" w:sz="4" w:space="0" w:color="000000"/>
            </w:tcBorders>
          </w:tcPr>
          <w:p>
            <w:pPr>
              <w:pStyle w:val="Tabelleninhalt"/>
              <w:widowControl w:val="false"/>
              <w:jc w:val="both"/>
              <w:rPr/>
            </w:pPr>
            <w:r>
              <w:rPr/>
              <w:t>7,48</w:t>
            </w:r>
          </w:p>
        </w:tc>
      </w:tr>
      <w:tr>
        <w:trPr/>
        <w:tc>
          <w:tcPr>
            <w:tcW w:w="1356" w:type="dxa"/>
            <w:tcBorders>
              <w:left w:val="single" w:sz="4" w:space="0" w:color="000000"/>
              <w:bottom w:val="single" w:sz="4" w:space="0" w:color="000000"/>
            </w:tcBorders>
          </w:tcPr>
          <w:p>
            <w:pPr>
              <w:pStyle w:val="Tabelleninhalt"/>
              <w:widowControl w:val="false"/>
              <w:jc w:val="both"/>
              <w:rPr/>
            </w:pPr>
            <w:r>
              <w:rPr/>
              <w:t>6 Kinder</w:t>
            </w:r>
          </w:p>
        </w:tc>
        <w:tc>
          <w:tcPr>
            <w:tcW w:w="2046" w:type="dxa"/>
            <w:tcBorders>
              <w:left w:val="single" w:sz="4" w:space="0" w:color="000000"/>
              <w:bottom w:val="single" w:sz="4" w:space="0" w:color="000000"/>
            </w:tcBorders>
          </w:tcPr>
          <w:p>
            <w:pPr>
              <w:pStyle w:val="Tabelleninhalt"/>
              <w:widowControl w:val="false"/>
              <w:jc w:val="both"/>
              <w:rPr/>
            </w:pPr>
            <w:r>
              <w:rPr/>
              <w:t>1413 €</w:t>
            </w:r>
          </w:p>
        </w:tc>
        <w:tc>
          <w:tcPr>
            <w:tcW w:w="2208" w:type="dxa"/>
            <w:tcBorders>
              <w:left w:val="single" w:sz="4" w:space="0" w:color="000000"/>
              <w:bottom w:val="single" w:sz="4" w:space="0" w:color="000000"/>
            </w:tcBorders>
          </w:tcPr>
          <w:p>
            <w:pPr>
              <w:pStyle w:val="Tabelleninhalt"/>
              <w:widowControl w:val="false"/>
              <w:jc w:val="both"/>
              <w:rPr/>
            </w:pPr>
            <w:r>
              <w:rPr/>
              <w:t>1500€</w:t>
            </w:r>
          </w:p>
        </w:tc>
        <w:tc>
          <w:tcPr>
            <w:tcW w:w="1759" w:type="dxa"/>
            <w:tcBorders>
              <w:left w:val="single" w:sz="4" w:space="0" w:color="000000"/>
              <w:bottom w:val="single" w:sz="4" w:space="0" w:color="000000"/>
            </w:tcBorders>
          </w:tcPr>
          <w:p>
            <w:pPr>
              <w:pStyle w:val="Tabelleninhalt"/>
              <w:widowControl w:val="false"/>
              <w:jc w:val="both"/>
              <w:rPr>
                <w:b/>
                <w:b/>
                <w:bCs/>
                <w:color w:val="C9211E"/>
              </w:rPr>
            </w:pPr>
            <w:r>
              <w:rPr>
                <w:b/>
                <w:bCs/>
                <w:color w:val="C9211E"/>
              </w:rPr>
              <w:t>+ 0</w:t>
            </w:r>
          </w:p>
        </w:tc>
        <w:tc>
          <w:tcPr>
            <w:tcW w:w="1759" w:type="dxa"/>
            <w:tcBorders>
              <w:left w:val="single" w:sz="4" w:space="0" w:color="000000"/>
              <w:bottom w:val="single" w:sz="4" w:space="0" w:color="000000"/>
              <w:right w:val="single" w:sz="4" w:space="0" w:color="000000"/>
            </w:tcBorders>
          </w:tcPr>
          <w:p>
            <w:pPr>
              <w:pStyle w:val="Tabelleninhalt"/>
              <w:widowControl w:val="false"/>
              <w:jc w:val="both"/>
              <w:rPr/>
            </w:pPr>
            <w:r>
              <w:rPr/>
              <w:t>6,16</w:t>
            </w:r>
          </w:p>
        </w:tc>
      </w:tr>
    </w:tbl>
    <w:p>
      <w:pPr>
        <w:pStyle w:val="Textkrper"/>
        <w:spacing w:before="0" w:after="140"/>
        <w:jc w:val="both"/>
        <w:rPr/>
      </w:pPr>
      <w:r>
        <w:rPr/>
      </w:r>
    </w:p>
    <w:p>
      <w:pPr>
        <w:pStyle w:val="Textkrper"/>
        <w:spacing w:before="0" w:after="140"/>
        <w:jc w:val="both"/>
        <w:rPr/>
      </w:pPr>
      <w:r>
        <w:rPr/>
      </w:r>
    </w:p>
    <w:p>
      <w:pPr>
        <w:pStyle w:val="Textkrper"/>
        <w:spacing w:before="0" w:after="140"/>
        <w:jc w:val="both"/>
        <w:rPr/>
      </w:pPr>
      <w:r>
        <w:rPr/>
      </w:r>
    </w:p>
    <w:p>
      <w:pPr>
        <w:pStyle w:val="Normal"/>
        <w:spacing w:before="0" w:after="0"/>
        <w:ind w:left="0" w:right="0" w:hanging="0"/>
        <w:jc w:val="left"/>
        <w:rPr>
          <w:rFonts w:ascii="Liberation Serif" w:hAnsi="Liberation Serif"/>
          <w:b/>
          <w:b/>
          <w:bCs/>
          <w:sz w:val="22"/>
          <w:szCs w:val="22"/>
          <w:shd w:fill="auto" w:val="clear"/>
        </w:rPr>
      </w:pPr>
      <w:r>
        <w:rPr>
          <w:rStyle w:val="Starkbetont"/>
          <w:rFonts w:ascii="Liberation Serif" w:hAnsi="Liberation Serif"/>
          <w:b/>
          <w:bCs/>
          <w:sz w:val="22"/>
          <w:szCs w:val="22"/>
          <w:shd w:fill="auto" w:val="clear"/>
        </w:rPr>
        <w:t>Über den Verband kinderreicher Familien Deutschland e.V.</w:t>
      </w:r>
    </w:p>
    <w:p>
      <w:pPr>
        <w:pStyle w:val="Textkrper"/>
        <w:spacing w:lineRule="auto" w:line="240" w:before="0" w:after="0"/>
        <w:jc w:val="left"/>
        <w:rPr>
          <w:rFonts w:ascii="Liberation Serif" w:hAnsi="Liberation Serif"/>
          <w:b w:val="false"/>
          <w:b w:val="false"/>
          <w:bCs w:val="false"/>
          <w:sz w:val="22"/>
          <w:szCs w:val="22"/>
          <w:shd w:fill="auto" w:val="clear"/>
        </w:rPr>
      </w:pPr>
      <w:r>
        <w:rPr>
          <w:rFonts w:ascii="Liberation Serif" w:hAnsi="Liberation Serif"/>
          <w:b w:val="false"/>
          <w:bCs w:val="false"/>
          <w:sz w:val="22"/>
          <w:szCs w:val="22"/>
          <w:shd w:fill="auto" w:val="clear"/>
        </w:rPr>
      </w:r>
    </w:p>
    <w:p>
      <w:pPr>
        <w:pStyle w:val="Textkrper"/>
        <w:spacing w:lineRule="auto" w:line="240" w:before="0" w:after="0"/>
        <w:jc w:val="both"/>
        <w:rPr>
          <w:rFonts w:ascii="Liberation Serif" w:hAnsi="Liberation Serif"/>
          <w:b w:val="false"/>
          <w:b w:val="false"/>
          <w:bCs w:val="false"/>
          <w:sz w:val="22"/>
          <w:szCs w:val="22"/>
          <w:shd w:fill="auto" w:val="clear"/>
        </w:rPr>
      </w:pPr>
      <w:r>
        <w:rPr>
          <w:rFonts w:ascii="Liberation Serif" w:hAnsi="Liberation Serif"/>
          <w:b w:val="false"/>
          <w:bCs w:val="false"/>
          <w:sz w:val="22"/>
          <w:szCs w:val="22"/>
          <w:shd w:fill="auto" w:val="clear"/>
        </w:rPr>
        <w:t xml:space="preserve">Der Verband kinderreicher Familien Deutschland e.V. (KRFD) ist im Jahr 2011 aus der Initiative engagierter kinderreicher Familien entstanden; vertritt </w:t>
      </w:r>
      <w:r>
        <w:rPr>
          <w:rFonts w:ascii="Liberation Serif" w:hAnsi="Liberation Serif"/>
          <w:b w:val="false"/>
          <w:bCs w:val="false"/>
          <w:sz w:val="22"/>
          <w:szCs w:val="22"/>
          <w:shd w:fill="auto" w:val="clear"/>
        </w:rPr>
        <w:t>1,4</w:t>
      </w:r>
      <w:r>
        <w:rPr>
          <w:rFonts w:ascii="Liberation Serif" w:hAnsi="Liberation Serif"/>
          <w:b w:val="false"/>
          <w:bCs w:val="false"/>
          <w:sz w:val="22"/>
          <w:szCs w:val="22"/>
          <w:shd w:fill="auto" w:val="clear"/>
        </w:rPr>
        <w:t xml:space="preserve"> Millionen </w:t>
      </w:r>
      <w:r>
        <w:rPr>
          <w:rFonts w:ascii="Liberation Serif" w:hAnsi="Liberation Serif"/>
          <w:b w:val="false"/>
          <w:bCs w:val="false"/>
          <w:sz w:val="22"/>
          <w:szCs w:val="22"/>
          <w:shd w:fill="auto" w:val="clear"/>
        </w:rPr>
        <w:t>Me</w:t>
      </w:r>
      <w:r>
        <w:rPr>
          <w:rFonts w:ascii="Liberation Serif" w:hAnsi="Liberation Serif"/>
          <w:b w:val="false"/>
          <w:bCs w:val="false"/>
          <w:sz w:val="22"/>
          <w:szCs w:val="22"/>
          <w:shd w:fill="auto" w:val="clear"/>
        </w:rPr>
        <w:t>hrkindfamilien</w:t>
      </w:r>
      <w:r>
        <w:rPr>
          <w:rFonts w:ascii="Liberation Serif" w:hAnsi="Liberation Serif"/>
          <w:b w:val="false"/>
          <w:bCs w:val="false"/>
          <w:sz w:val="22"/>
          <w:szCs w:val="22"/>
          <w:shd w:fill="auto" w:val="clear"/>
        </w:rPr>
        <w:t xml:space="preserve"> in Deutschland und setzt sich in Politik, Wirtschaft und Medien für ihre Interessen ein. Der Verband versteht sich als Netzwerk von </w:t>
      </w:r>
      <w:r>
        <w:rPr>
          <w:rFonts w:ascii="Liberation Serif" w:hAnsi="Liberation Serif"/>
          <w:b w:val="false"/>
          <w:bCs w:val="false"/>
          <w:sz w:val="22"/>
          <w:szCs w:val="22"/>
          <w:shd w:fill="auto" w:val="clear"/>
        </w:rPr>
        <w:t>Familien mit drei und mehr Kindern</w:t>
      </w:r>
      <w:r>
        <w:rPr>
          <w:rFonts w:ascii="Liberation Serif" w:hAnsi="Liberation Serif"/>
          <w:b w:val="false"/>
          <w:bCs w:val="false"/>
          <w:sz w:val="22"/>
          <w:szCs w:val="22"/>
          <w:shd w:fill="auto" w:val="clear"/>
        </w:rPr>
        <w:t>, die sich untereinander unterstützen und die Öffentlichkeit für ihre Anliegen erreichen wollen. Der Verband ist konfessionell ungebunden und überparteilich.</w:t>
      </w:r>
    </w:p>
    <w:p>
      <w:pPr>
        <w:pStyle w:val="Textkrper"/>
        <w:spacing w:lineRule="auto" w:line="240" w:before="0" w:after="0"/>
        <w:jc w:val="left"/>
        <w:rPr>
          <w:rFonts w:ascii="Liberation Serif" w:hAnsi="Liberation Serif" w:cs="Times"/>
          <w:b w:val="false"/>
          <w:b w:val="false"/>
          <w:bCs w:val="false"/>
          <w:color w:val="000000"/>
          <w:sz w:val="22"/>
          <w:szCs w:val="22"/>
          <w:u w:val="single"/>
          <w:shd w:fill="auto" w:val="clear"/>
        </w:rPr>
      </w:pPr>
      <w:r>
        <w:rPr>
          <w:rFonts w:cs="Times" w:ascii="Liberation Serif" w:hAnsi="Liberation Serif"/>
          <w:b w:val="false"/>
          <w:bCs w:val="false"/>
          <w:color w:val="000000"/>
          <w:sz w:val="22"/>
          <w:szCs w:val="22"/>
          <w:u w:val="single"/>
          <w:shd w:fill="auto" w:val="clear"/>
        </w:rPr>
      </w:r>
    </w:p>
    <w:p>
      <w:pPr>
        <w:pStyle w:val="Textkrper"/>
        <w:spacing w:lineRule="auto" w:line="240" w:before="0" w:after="0"/>
        <w:jc w:val="left"/>
        <w:rPr>
          <w:rFonts w:ascii="Liberation Serif" w:hAnsi="Liberation Serif"/>
          <w:b w:val="false"/>
          <w:b w:val="false"/>
          <w:bCs w:val="false"/>
          <w:sz w:val="22"/>
          <w:szCs w:val="22"/>
          <w:shd w:fill="auto" w:val="clear"/>
        </w:rPr>
      </w:pPr>
      <w:r>
        <w:rPr>
          <w:rFonts w:ascii="Liberation Serif" w:hAnsi="Liberation Serif"/>
          <w:b w:val="false"/>
          <w:bCs w:val="false"/>
          <w:sz w:val="22"/>
          <w:szCs w:val="22"/>
          <w:shd w:fill="auto" w:val="clear"/>
        </w:rPr>
      </w:r>
    </w:p>
    <w:p>
      <w:pPr>
        <w:pStyle w:val="Textkrper"/>
        <w:spacing w:lineRule="auto" w:line="240" w:before="0" w:after="0"/>
        <w:jc w:val="left"/>
        <w:rPr>
          <w:rFonts w:ascii="Liberation Serif" w:hAnsi="Liberation Serif"/>
          <w:b/>
          <w:b/>
          <w:bCs/>
          <w:sz w:val="22"/>
          <w:szCs w:val="22"/>
          <w:shd w:fill="auto" w:val="clear"/>
        </w:rPr>
      </w:pPr>
      <w:r>
        <w:rPr>
          <w:rFonts w:ascii="Liberation Serif" w:hAnsi="Liberation Serif"/>
          <w:b/>
          <w:bCs/>
          <w:sz w:val="22"/>
          <w:szCs w:val="22"/>
          <w:shd w:fill="auto" w:val="clear"/>
        </w:rPr>
        <w:t xml:space="preserve">Kontakt </w:t>
      </w:r>
      <w:r>
        <w:rPr>
          <w:rFonts w:ascii="Liberation Serif" w:hAnsi="Liberation Serif"/>
          <w:b/>
          <w:bCs/>
          <w:sz w:val="22"/>
          <w:szCs w:val="22"/>
          <w:shd w:fill="auto" w:val="clear"/>
        </w:rPr>
        <w:t>Bundesverband</w:t>
      </w:r>
    </w:p>
    <w:p>
      <w:pPr>
        <w:pStyle w:val="Textkrper"/>
        <w:spacing w:lineRule="auto" w:line="240" w:before="0" w:after="0"/>
        <w:jc w:val="left"/>
        <w:rPr>
          <w:rFonts w:ascii="Liberation Serif" w:hAnsi="Liberation Serif"/>
          <w:b w:val="false"/>
          <w:b w:val="false"/>
          <w:bCs w:val="false"/>
          <w:sz w:val="22"/>
          <w:szCs w:val="22"/>
          <w:shd w:fill="auto" w:val="clear"/>
        </w:rPr>
      </w:pPr>
      <w:r>
        <w:rPr>
          <w:rFonts w:ascii="Liberation Serif" w:hAnsi="Liberation Serif"/>
          <w:b w:val="false"/>
          <w:bCs w:val="false"/>
          <w:sz w:val="22"/>
          <w:szCs w:val="22"/>
          <w:shd w:fill="auto" w:val="clear"/>
        </w:rPr>
      </w:r>
    </w:p>
    <w:p>
      <w:pPr>
        <w:pStyle w:val="Textkrper"/>
        <w:spacing w:lineRule="auto" w:line="240" w:before="0" w:after="0"/>
        <w:jc w:val="left"/>
        <w:rPr/>
      </w:pPr>
      <w:r>
        <w:rPr>
          <w:rFonts w:ascii="Liberation Serif" w:hAnsi="Liberation Serif"/>
          <w:b w:val="false"/>
          <w:bCs w:val="false"/>
          <w:sz w:val="22"/>
          <w:szCs w:val="22"/>
          <w:shd w:fill="auto" w:val="clear"/>
        </w:rPr>
        <w:t xml:space="preserve">Dr. </w:t>
      </w:r>
      <w:r>
        <w:rPr>
          <w:rFonts w:ascii="Liberation Serif" w:hAnsi="Liberation Serif"/>
          <w:b w:val="false"/>
          <w:bCs w:val="false"/>
          <w:sz w:val="22"/>
          <w:szCs w:val="22"/>
          <w:shd w:fill="auto" w:val="clear"/>
        </w:rPr>
        <w:t xml:space="preserve">Laura Schlichting </w:t>
      </w:r>
      <w:r>
        <w:rPr>
          <w:rFonts w:ascii="Liberation Serif" w:hAnsi="Liberation Serif"/>
          <w:b w:val="false"/>
          <w:bCs w:val="false"/>
          <w:sz w:val="22"/>
          <w:szCs w:val="22"/>
          <w:shd w:fill="auto" w:val="clear"/>
        </w:rPr>
        <w:br/>
        <w:t xml:space="preserve">Referentin des </w:t>
      </w:r>
      <w:r>
        <w:rPr>
          <w:rFonts w:ascii="Liberation Serif" w:hAnsi="Liberation Serif"/>
          <w:b w:val="false"/>
          <w:bCs w:val="false"/>
          <w:sz w:val="22"/>
          <w:szCs w:val="22"/>
          <w:shd w:fill="auto" w:val="clear"/>
        </w:rPr>
        <w:t>Bundesv</w:t>
      </w:r>
      <w:r>
        <w:rPr>
          <w:rFonts w:ascii="Liberation Serif" w:hAnsi="Liberation Serif"/>
          <w:b w:val="false"/>
          <w:bCs w:val="false"/>
          <w:sz w:val="22"/>
          <w:szCs w:val="22"/>
          <w:shd w:fill="auto" w:val="clear"/>
        </w:rPr>
        <w:t>orstandes</w:t>
        <w:br/>
        <w:t>Korschenbroicher Str. 83</w:t>
      </w:r>
      <w:r>
        <w:rPr>
          <w:rFonts w:ascii="Liberation Serif" w:hAnsi="Liberation Serif"/>
          <w:b w:val="false"/>
          <w:bCs w:val="false"/>
          <w:color w:val="000000"/>
          <w:sz w:val="22"/>
          <w:szCs w:val="22"/>
          <w:shd w:fill="auto" w:val="clear"/>
        </w:rPr>
        <w:br/>
        <w:t>41065 Mönchengladbach</w:t>
        <w:br/>
      </w:r>
      <w:hyperlink r:id="rId3">
        <w:r>
          <w:rPr>
            <w:rStyle w:val="Internetverknpfung"/>
            <w:rFonts w:ascii="Liberation Serif" w:hAnsi="Liberation Serif"/>
            <w:b w:val="false"/>
            <w:bCs w:val="false"/>
            <w:sz w:val="22"/>
            <w:szCs w:val="22"/>
            <w:shd w:fill="auto" w:val="clear"/>
          </w:rPr>
          <w:t>presse@kinderreiche-familien.de</w:t>
        </w:r>
      </w:hyperlink>
      <w:r>
        <w:rPr>
          <w:rStyle w:val="Starkbetont"/>
          <w:rFonts w:ascii="Liberation Serif" w:hAnsi="Liberation Serif"/>
          <w:b w:val="false"/>
          <w:bCs w:val="false"/>
          <w:color w:val="000000"/>
          <w:sz w:val="22"/>
          <w:szCs w:val="22"/>
          <w:shd w:fill="auto" w:val="clear"/>
        </w:rPr>
        <w:t xml:space="preserve"> </w:t>
      </w:r>
    </w:p>
    <w:p>
      <w:pPr>
        <w:pStyle w:val="Textkrper"/>
        <w:bidi w:val="0"/>
        <w:spacing w:lineRule="auto" w:line="240" w:before="0" w:after="0"/>
        <w:jc w:val="left"/>
        <w:rPr>
          <w:rFonts w:ascii="Arial" w:hAnsi="Arial"/>
          <w:b w:val="false"/>
          <w:b w:val="false"/>
          <w:bCs w:val="false"/>
          <w:sz w:val="22"/>
          <w:szCs w:val="22"/>
          <w:shd w:fill="FFFF00" w:val="clear"/>
        </w:rPr>
      </w:pPr>
      <w:hyperlink r:id="rId4">
        <w:r>
          <w:rPr>
            <w:rStyle w:val="Internetverknpfung"/>
            <w:rFonts w:ascii="Liberation Serif" w:hAnsi="Liberation Serif"/>
            <w:b w:val="false"/>
            <w:bCs w:val="false"/>
            <w:sz w:val="22"/>
            <w:szCs w:val="22"/>
            <w:shd w:fill="auto" w:val="clear"/>
          </w:rPr>
          <w:t>https://www.kinderreichefamilien.de/willkommen.html</w:t>
        </w:r>
      </w:hyperlink>
      <w:r>
        <w:rPr>
          <w:rStyle w:val="Starkbetont"/>
          <w:rFonts w:ascii="Liberation Serif" w:hAnsi="Liberation Serif"/>
          <w:b w:val="false"/>
          <w:bCs w:val="false"/>
          <w:color w:val="000000"/>
          <w:sz w:val="22"/>
          <w:szCs w:val="22"/>
          <w:shd w:fill="auto" w:val="clear"/>
        </w:rPr>
        <w:t xml:space="preserve"> </w:t>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Arial">
    <w:charset w:val="01"/>
    <w:family w:val="swiss"/>
    <w:pitch w:val="default"/>
  </w:font>
</w:fonts>
</file>

<file path=word/settings.xml><?xml version="1.0" encoding="utf-8"?>
<w:settings xmlns:w="http://schemas.openxmlformats.org/wordprocessingml/2006/main">
  <w:zoom w:percent="160"/>
  <w:defaultTabStop w:val="709"/>
  <w:autoHyphenation w:val="true"/>
  <w:hyphenationZone w:val="425"/>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Noto Sans Devanagari"/>
        <w:kern w:val="2"/>
        <w:sz w:val="24"/>
        <w:szCs w:val="24"/>
        <w:lang w:val="de-DE" w:eastAsia="zh-CN" w:bidi="hi-IN"/>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left"/>
    </w:pPr>
    <w:rPr>
      <w:rFonts w:ascii="Liberation Serif" w:hAnsi="Liberation Serif" w:eastAsia="Noto Sans" w:cs="Noto Sans Devanagari"/>
      <w:color w:val="auto"/>
      <w:kern w:val="2"/>
      <w:sz w:val="24"/>
      <w:szCs w:val="24"/>
      <w:lang w:val="de-DE" w:eastAsia="zh-CN" w:bidi="hi-IN"/>
    </w:rPr>
  </w:style>
  <w:style w:type="character" w:styleId="DefaultParagraphFont">
    <w:name w:val="Default Paragraph Font"/>
    <w:qFormat/>
    <w:rPr/>
  </w:style>
  <w:style w:type="character" w:styleId="Starkbetont">
    <w:name w:val="Strong"/>
    <w:qFormat/>
    <w:rPr>
      <w:b/>
      <w:bCs/>
    </w:rPr>
  </w:style>
  <w:style w:type="character" w:styleId="Internetverknpfung">
    <w:name w:val="Hyperlink"/>
    <w:rPr>
      <w:color w:val="000080"/>
      <w:u w:val="single"/>
    </w:rPr>
  </w:style>
  <w:style w:type="paragraph" w:styleId="Berschrift">
    <w:name w:val="Überschrift"/>
    <w:basedOn w:val="Normal"/>
    <w:next w:val="Textkrper"/>
    <w:qFormat/>
    <w:pPr>
      <w:keepNext w:val="true"/>
      <w:spacing w:before="240" w:after="120"/>
    </w:pPr>
    <w:rPr>
      <w:rFonts w:ascii="Liberation Sans" w:hAnsi="Liberation Sans"/>
      <w:sz w:val="28"/>
      <w:szCs w:val="28"/>
    </w:rPr>
  </w:style>
  <w:style w:type="paragraph" w:styleId="Textkrper">
    <w:name w:val="Body Text"/>
    <w:basedOn w:val="Normal"/>
    <w:pPr>
      <w:spacing w:lineRule="auto" w:line="276" w:before="0" w:after="140"/>
    </w:pPr>
    <w:rPr/>
  </w:style>
  <w:style w:type="paragraph" w:styleId="Aufzhlung">
    <w:name w:val="List"/>
    <w:basedOn w:val="Textkrper"/>
    <w:pPr/>
    <w:rPr/>
  </w:style>
  <w:style w:type="paragraph" w:styleId="Beschriftung">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style>
  <w:style w:type="paragraph" w:styleId="Caption">
    <w:name w:val="caption"/>
    <w:basedOn w:val="Normal"/>
    <w:qFormat/>
    <w:pPr>
      <w:suppressLineNumbers/>
      <w:spacing w:before="120" w:after="120"/>
    </w:pPr>
    <w:rPr>
      <w:i/>
      <w:iCs/>
    </w:rPr>
  </w:style>
  <w:style w:type="paragraph" w:styleId="Tabelleninhalt">
    <w:name w:val="Tabelleninhalt"/>
    <w:basedOn w:val="Normal"/>
    <w:qFormat/>
    <w:pPr>
      <w:widowControl w:val="false"/>
      <w:suppressLineNumbers/>
    </w:pPr>
    <w:rPr/>
  </w:style>
  <w:style w:type="paragraph" w:styleId="Tabellenberschrift">
    <w:name w:val="Tabellenüberschrift"/>
    <w:basedOn w:val="Tabelleninhalt"/>
    <w:qFormat/>
    <w:pPr>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presse@kinderreiche-familien.de" TargetMode="External"/><Relationship Id="rId4" Type="http://schemas.openxmlformats.org/officeDocument/2006/relationships/hyperlink" Target="https://www.kinderreichefamilien.de/willkommen.html" TargetMode="Externa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701</TotalTime>
  <Application>LibreOffice/7.4.5.1$Linux_X86_64 LibreOffice_project/40$Build-1</Application>
  <AppVersion>15.0000</AppVersion>
  <Pages>2</Pages>
  <Words>631</Words>
  <Characters>3949</Characters>
  <CharactersWithSpaces>4542</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2023-02-08T09:29:00Z</dcterms:created>
  <dc:creator/>
  <dc:description/>
  <dc:language>de-DE</dc:language>
  <cp:lastModifiedBy/>
  <dcterms:modified xsi:type="dcterms:W3CDTF">2023-03-20T08:06:56Z</dcterms:modified>
  <cp:revision>43</cp:revision>
  <dc:subject/>
  <dc:title/>
</cp:coreProperties>
</file>

<file path=docProps/custom.xml><?xml version="1.0" encoding="utf-8"?>
<Properties xmlns="http://schemas.openxmlformats.org/officeDocument/2006/custom-properties" xmlns:vt="http://schemas.openxmlformats.org/officeDocument/2006/docPropsVTypes"/>
</file>